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5F4D" w14:textId="77777777" w:rsidR="007D2F7F" w:rsidRPr="00E140FC" w:rsidRDefault="007D2F7F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19F498D8" w:rsidR="00C86989" w:rsidRDefault="003C0DA6" w:rsidP="007D2F7F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55120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59E513A" w14:textId="3F232CCF" w:rsidR="003C0DA6" w:rsidRPr="007D2F7F" w:rsidRDefault="007D2F7F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7D2F7F">
        <w:rPr>
          <w:rFonts w:asciiTheme="minorHAnsi" w:hAnsiTheme="minorHAnsi" w:cs="Calibri"/>
          <w:b/>
          <w:bCs/>
        </w:rPr>
        <w:t xml:space="preserve">Electoral Act </w:t>
      </w:r>
      <w:r w:rsidR="003C0DA6" w:rsidRPr="007D2F7F">
        <w:rPr>
          <w:rFonts w:asciiTheme="minorHAnsi" w:hAnsiTheme="minorHAnsi" w:cs="Calibri"/>
          <w:b/>
          <w:bCs/>
        </w:rPr>
        <w:t>1985</w:t>
      </w:r>
    </w:p>
    <w:p w14:paraId="0A0D25D6" w14:textId="77777777" w:rsidR="00C86989" w:rsidRPr="00E140FC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5D63D59B" w:rsidR="00255120" w:rsidRPr="00255120" w:rsidRDefault="005C0A6D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3C0DA6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4E44F3DA" w:rsidR="00255120" w:rsidRP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4C1CEA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063228CC" w14:textId="77777777" w:rsidR="0096079A" w:rsidRPr="00E140FC" w:rsidRDefault="0096079A" w:rsidP="0096079A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E140FC">
        <w:rPr>
          <w:rFonts w:cs="Calibri"/>
          <w:b/>
        </w:rPr>
        <w:t>[</w:t>
      </w:r>
      <w:r w:rsidRPr="00E140FC">
        <w:rPr>
          <w:rFonts w:cs="Calibri"/>
          <w:b/>
          <w:i/>
        </w:rPr>
        <w:t>FULL NAME</w:t>
      </w:r>
      <w:r w:rsidRPr="00E140FC">
        <w:rPr>
          <w:rFonts w:cs="Calibri"/>
          <w:b/>
        </w:rPr>
        <w:t>]</w:t>
      </w:r>
    </w:p>
    <w:p w14:paraId="4D53BE86" w14:textId="77777777" w:rsidR="0096079A" w:rsidRPr="00E140FC" w:rsidRDefault="0096079A" w:rsidP="0096079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140FC">
        <w:rPr>
          <w:rFonts w:cs="Calibri"/>
          <w:b/>
        </w:rPr>
        <w:t>Applicant</w:t>
      </w:r>
    </w:p>
    <w:p w14:paraId="20C0FF29" w14:textId="77777777" w:rsidR="0096079A" w:rsidRDefault="0096079A" w:rsidP="0096079A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96079A" w14:paraId="352476C6" w14:textId="77777777" w:rsidTr="0096079A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91A0" w14:textId="77777777" w:rsidR="0096079A" w:rsidRDefault="0096079A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96079A" w14:paraId="03AF1CDA" w14:textId="77777777" w:rsidTr="0096079A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ED66FD" w14:textId="77777777" w:rsidR="0096079A" w:rsidRDefault="0096079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4E8AD" w14:textId="77777777" w:rsidR="0096079A" w:rsidRDefault="0096079A">
            <w:pPr>
              <w:keepNext/>
              <w:rPr>
                <w:rFonts w:cs="Arial"/>
                <w:lang w:val="en-US"/>
              </w:rPr>
            </w:pPr>
          </w:p>
        </w:tc>
      </w:tr>
      <w:tr w:rsidR="0096079A" w14:paraId="76793B82" w14:textId="77777777" w:rsidTr="0096079A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28F2A" w14:textId="77777777" w:rsidR="0096079A" w:rsidRDefault="0096079A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B3266" w14:textId="77777777" w:rsidR="0096079A" w:rsidRDefault="0096079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96079A" w14:paraId="0A3AB4C7" w14:textId="77777777" w:rsidTr="0096079A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DCDE" w14:textId="77777777" w:rsidR="0096079A" w:rsidRDefault="0096079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20731" w14:textId="77777777" w:rsidR="0096079A" w:rsidRDefault="0096079A">
            <w:pPr>
              <w:keepNext/>
              <w:rPr>
                <w:rFonts w:cs="Arial"/>
                <w:lang w:val="en-US"/>
              </w:rPr>
            </w:pPr>
          </w:p>
        </w:tc>
      </w:tr>
      <w:tr w:rsidR="0096079A" w14:paraId="3D922583" w14:textId="77777777" w:rsidTr="0096079A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DED5" w14:textId="77777777" w:rsidR="0096079A" w:rsidRDefault="0096079A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24F1E" w14:textId="77777777" w:rsidR="0096079A" w:rsidRDefault="0096079A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96079A" w14:paraId="3A1935BE" w14:textId="77777777" w:rsidTr="0096079A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F6EC" w14:textId="77777777" w:rsidR="0096079A" w:rsidRDefault="0096079A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E7788" w14:textId="77777777" w:rsidR="0096079A" w:rsidRDefault="0096079A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CC4DF0" w14:textId="77777777" w:rsidR="0096079A" w:rsidRDefault="0096079A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D6A623" w14:textId="77777777" w:rsidR="0096079A" w:rsidRDefault="0096079A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B05E29" w14:textId="77777777" w:rsidR="0096079A" w:rsidRDefault="0096079A">
            <w:pPr>
              <w:keepNext/>
              <w:rPr>
                <w:rFonts w:cs="Arial"/>
                <w:lang w:val="en-US"/>
              </w:rPr>
            </w:pPr>
          </w:p>
        </w:tc>
      </w:tr>
      <w:tr w:rsidR="0096079A" w14:paraId="4F32C1AB" w14:textId="77777777" w:rsidTr="0096079A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949C" w14:textId="77777777" w:rsidR="0096079A" w:rsidRDefault="0096079A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515A9" w14:textId="77777777" w:rsidR="0096079A" w:rsidRDefault="0096079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CF14D" w14:textId="77777777" w:rsidR="0096079A" w:rsidRDefault="0096079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1E8F2" w14:textId="77777777" w:rsidR="0096079A" w:rsidRDefault="0096079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25AD1" w14:textId="77777777" w:rsidR="0096079A" w:rsidRDefault="0096079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131EDF26" w14:textId="77777777" w:rsidR="007D2F7F" w:rsidRPr="0008623A" w:rsidRDefault="007D2F7F" w:rsidP="007D2F7F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7D2F7F" w:rsidRPr="0008623A" w14:paraId="34F48EE2" w14:textId="77777777" w:rsidTr="00E2786E">
        <w:tc>
          <w:tcPr>
            <w:tcW w:w="10457" w:type="dxa"/>
          </w:tcPr>
          <w:p w14:paraId="22637000" w14:textId="77777777" w:rsidR="007D2F7F" w:rsidRDefault="007D2F7F" w:rsidP="00E140FC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5BCC7682" w14:textId="77777777" w:rsidR="007D2F7F" w:rsidRPr="0008623A" w:rsidRDefault="007D2F7F" w:rsidP="00E140FC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1A7DC445" w14:textId="33F78223" w:rsidR="007D2F7F" w:rsidRPr="00EB35CF" w:rsidRDefault="007D2F7F" w:rsidP="00E140FC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 [</w:t>
            </w:r>
            <w:r w:rsidRPr="00EB35CF">
              <w:rPr>
                <w:rFonts w:cs="Arial"/>
                <w:i/>
              </w:rPr>
              <w:t>inspector/authorised person/authorised officer/other</w:t>
            </w:r>
            <w:r w:rsidRPr="00EB35CF">
              <w:rPr>
                <w:rFonts w:cs="Arial"/>
              </w:rPr>
              <w:t>]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>
              <w:rPr>
                <w:rFonts w:cs="Arial"/>
              </w:rPr>
              <w:t xml:space="preserve"> section 130ZZB of the </w:t>
            </w:r>
            <w:r>
              <w:rPr>
                <w:rFonts w:cs="Arial"/>
                <w:i/>
              </w:rPr>
              <w:t>Electoral Act 1985</w:t>
            </w:r>
            <w:r w:rsidRPr="00EB35CF">
              <w:rPr>
                <w:rFonts w:cs="Arial"/>
              </w:rPr>
              <w:t xml:space="preserve"> for the issue of a </w:t>
            </w:r>
            <w:r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65DF418A" w14:textId="77777777" w:rsidR="007D2F7F" w:rsidRDefault="007D2F7F" w:rsidP="00E140FC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40E226FF" w14:textId="77777777" w:rsidR="007D2F7F" w:rsidRDefault="007D2F7F" w:rsidP="00E140FC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3C0DA6">
              <w:rPr>
                <w:rFonts w:cs="Arial"/>
              </w:rPr>
              <w:t>Magistrate</w:t>
            </w:r>
            <w:r w:rsidRPr="00EB35CF">
              <w:rPr>
                <w:rFonts w:cs="Arial"/>
              </w:rPr>
              <w:t xml:space="preserve"> is satisfied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that:</w:t>
            </w:r>
          </w:p>
          <w:p w14:paraId="3EFED2A3" w14:textId="3138DBE4" w:rsidR="007D2F7F" w:rsidRPr="003C0DA6" w:rsidRDefault="007D2F7F" w:rsidP="00E140FC">
            <w:pPr>
              <w:pStyle w:val="ListParagraph"/>
              <w:numPr>
                <w:ilvl w:val="0"/>
                <w:numId w:val="7"/>
              </w:numPr>
              <w:tabs>
                <w:tab w:val="left" w:pos="451"/>
              </w:tabs>
              <w:spacing w:after="120" w:line="276" w:lineRule="auto"/>
              <w:ind w:left="877" w:hanging="786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Pr="003C0DA6">
              <w:rPr>
                <w:rFonts w:cs="Arial"/>
              </w:rPr>
              <w:t>an authorised officer seeks to enter and search [</w:t>
            </w:r>
            <w:r w:rsidRPr="003C0DA6">
              <w:rPr>
                <w:rFonts w:cs="Arial"/>
                <w:i/>
              </w:rPr>
              <w:t>premises/vessel/aircraft/vehicle</w:t>
            </w:r>
            <w:r w:rsidRPr="003C0DA6">
              <w:rPr>
                <w:rFonts w:cs="Arial"/>
              </w:rPr>
              <w:t xml:space="preserve">] and seize any documents or other things that may afford evidence relating to a contravention of Part 13A of the </w:t>
            </w:r>
            <w:r w:rsidRPr="003C0DA6">
              <w:rPr>
                <w:rFonts w:cs="Arial"/>
                <w:i/>
              </w:rPr>
              <w:t xml:space="preserve">Electoral Act 1995, </w:t>
            </w:r>
            <w:r w:rsidRPr="003C0DA6">
              <w:rPr>
                <w:rFonts w:cs="Arial"/>
              </w:rPr>
              <w:t>[</w:t>
            </w:r>
            <w:r w:rsidRPr="003C0DA6">
              <w:rPr>
                <w:rFonts w:cs="Arial"/>
                <w:i/>
              </w:rPr>
              <w:t>namely</w:t>
            </w:r>
            <w:r w:rsidRPr="003C0DA6">
              <w:rPr>
                <w:rFonts w:cs="Arial"/>
              </w:rPr>
              <w:t>]</w:t>
            </w:r>
            <w:r w:rsidRPr="003C0DA6">
              <w:rPr>
                <w:rFonts w:cs="Arial"/>
                <w:i/>
              </w:rPr>
              <w:t>.</w:t>
            </w:r>
          </w:p>
          <w:p w14:paraId="50E3946D" w14:textId="1F439000" w:rsidR="007D2F7F" w:rsidRPr="003C0DA6" w:rsidRDefault="007D2F7F" w:rsidP="00E140FC">
            <w:pPr>
              <w:pStyle w:val="ListParagraph"/>
              <w:numPr>
                <w:ilvl w:val="0"/>
                <w:numId w:val="7"/>
              </w:numPr>
              <w:tabs>
                <w:tab w:val="left" w:pos="451"/>
              </w:tabs>
              <w:spacing w:after="120" w:line="276" w:lineRule="auto"/>
              <w:ind w:left="877" w:hanging="786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Pr="003C0DA6">
              <w:rPr>
                <w:rFonts w:cs="Arial"/>
              </w:rPr>
              <w:t xml:space="preserve">the authorised officer has furnished an </w:t>
            </w:r>
            <w:r>
              <w:rPr>
                <w:rFonts w:cs="Arial"/>
              </w:rPr>
              <w:t>A</w:t>
            </w:r>
            <w:r w:rsidRPr="003C0DA6">
              <w:rPr>
                <w:rFonts w:cs="Arial"/>
              </w:rPr>
              <w:t xml:space="preserve">ffidavit setting out the grounds on which the issue of </w:t>
            </w:r>
            <w:r>
              <w:rPr>
                <w:rFonts w:cs="Arial"/>
              </w:rPr>
              <w:t>a w</w:t>
            </w:r>
            <w:r w:rsidRPr="003C0DA6">
              <w:rPr>
                <w:rFonts w:cs="Arial"/>
              </w:rPr>
              <w:t>arrant is being sought.</w:t>
            </w:r>
          </w:p>
          <w:p w14:paraId="45C1F1F0" w14:textId="7EDDC022" w:rsidR="007D2F7F" w:rsidRPr="003C0DA6" w:rsidRDefault="007D2F7F" w:rsidP="00E140FC">
            <w:pPr>
              <w:pStyle w:val="ListParagraph"/>
              <w:numPr>
                <w:ilvl w:val="0"/>
                <w:numId w:val="7"/>
              </w:numPr>
              <w:tabs>
                <w:tab w:val="left" w:pos="451"/>
              </w:tabs>
              <w:spacing w:after="120" w:line="276" w:lineRule="auto"/>
              <w:ind w:left="877" w:hanging="786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(c)</w:t>
            </w:r>
            <w:r>
              <w:rPr>
                <w:rFonts w:cs="Arial"/>
              </w:rPr>
              <w:tab/>
            </w:r>
            <w:r w:rsidRPr="003C0DA6">
              <w:rPr>
                <w:rFonts w:cs="Arial"/>
              </w:rPr>
              <w:t xml:space="preserve">the authorised officer or some other person has given either orally or by </w:t>
            </w:r>
            <w:r>
              <w:rPr>
                <w:rFonts w:cs="Arial"/>
              </w:rPr>
              <w:t>A</w:t>
            </w:r>
            <w:r w:rsidRPr="003C0DA6">
              <w:rPr>
                <w:rFonts w:cs="Arial"/>
              </w:rPr>
              <w:t xml:space="preserve">ffidavit, such further information (if any) as the Court requires concerning the grounds on which the issue of </w:t>
            </w:r>
            <w:r>
              <w:rPr>
                <w:rFonts w:cs="Arial"/>
              </w:rPr>
              <w:t>a w</w:t>
            </w:r>
            <w:r w:rsidRPr="003C0DA6">
              <w:rPr>
                <w:rFonts w:cs="Arial"/>
              </w:rPr>
              <w:t>arrant is being sought.</w:t>
            </w:r>
          </w:p>
          <w:p w14:paraId="3C6B63F2" w14:textId="1717A449" w:rsidR="007D2F7F" w:rsidRPr="003C0DA6" w:rsidRDefault="007D2F7F" w:rsidP="00E140FC">
            <w:pPr>
              <w:pStyle w:val="ListParagraph"/>
              <w:numPr>
                <w:ilvl w:val="0"/>
                <w:numId w:val="7"/>
              </w:numPr>
              <w:tabs>
                <w:tab w:val="left" w:pos="451"/>
              </w:tabs>
              <w:spacing w:after="120" w:line="276" w:lineRule="auto"/>
              <w:ind w:left="877" w:hanging="786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(d)</w:t>
            </w:r>
            <w:r>
              <w:rPr>
                <w:rFonts w:cs="Arial"/>
              </w:rPr>
              <w:tab/>
            </w:r>
            <w:r w:rsidRPr="003C0DA6">
              <w:rPr>
                <w:rFonts w:cs="Arial"/>
              </w:rPr>
              <w:t xml:space="preserve">there are reasonable grounds for the issue of </w:t>
            </w:r>
            <w:r>
              <w:rPr>
                <w:rFonts w:cs="Arial"/>
              </w:rPr>
              <w:t>a w</w:t>
            </w:r>
            <w:r w:rsidRPr="003C0DA6">
              <w:rPr>
                <w:rFonts w:cs="Arial"/>
              </w:rPr>
              <w:t xml:space="preserve">arrant under section 130ZZB(17) of the </w:t>
            </w:r>
            <w:r w:rsidRPr="003C0DA6">
              <w:rPr>
                <w:rFonts w:cs="Arial"/>
                <w:i/>
              </w:rPr>
              <w:t>Electoral Act 1985.</w:t>
            </w:r>
          </w:p>
          <w:p w14:paraId="7EE619FF" w14:textId="388D8CEE" w:rsidR="007D2F7F" w:rsidRPr="003C0DA6" w:rsidRDefault="007D2F7F" w:rsidP="00E140FC">
            <w:pPr>
              <w:pStyle w:val="ListParagraph"/>
              <w:numPr>
                <w:ilvl w:val="0"/>
                <w:numId w:val="7"/>
              </w:numPr>
              <w:tabs>
                <w:tab w:val="left" w:pos="451"/>
              </w:tabs>
              <w:spacing w:after="120" w:line="276" w:lineRule="auto"/>
              <w:ind w:left="877" w:hanging="786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(e)</w:t>
            </w:r>
            <w:r>
              <w:rPr>
                <w:rFonts w:cs="Arial"/>
              </w:rPr>
              <w:tab/>
            </w:r>
            <w:r w:rsidRPr="003C0DA6">
              <w:rPr>
                <w:rFonts w:cs="Arial"/>
              </w:rPr>
              <w:t>the Court relied upon [</w:t>
            </w:r>
            <w:r w:rsidRPr="003C0DA6">
              <w:rPr>
                <w:rFonts w:cs="Arial"/>
                <w:i/>
              </w:rPr>
              <w:t>description of grounds and particulars of the grounds</w:t>
            </w:r>
            <w:r w:rsidRPr="003C0DA6">
              <w:rPr>
                <w:rFonts w:cs="Arial"/>
              </w:rPr>
              <w:t xml:space="preserve">] to justify the issue of </w:t>
            </w:r>
            <w:r>
              <w:rPr>
                <w:rFonts w:cs="Arial"/>
              </w:rPr>
              <w:t>a w</w:t>
            </w:r>
            <w:r w:rsidRPr="003C0DA6">
              <w:rPr>
                <w:rFonts w:cs="Arial"/>
              </w:rPr>
              <w:t>arrant.</w:t>
            </w:r>
          </w:p>
          <w:p w14:paraId="38948664" w14:textId="23B0D3C6" w:rsidR="007D2F7F" w:rsidRPr="000F7743" w:rsidRDefault="007D2F7F" w:rsidP="00E140FC">
            <w:pPr>
              <w:pStyle w:val="ListParagraph"/>
              <w:numPr>
                <w:ilvl w:val="0"/>
                <w:numId w:val="7"/>
              </w:numPr>
              <w:tabs>
                <w:tab w:val="left" w:pos="451"/>
              </w:tabs>
              <w:spacing w:after="240" w:line="276" w:lineRule="auto"/>
              <w:ind w:left="877" w:hanging="786"/>
              <w:jc w:val="left"/>
              <w:rPr>
                <w:rFonts w:cs="Arial"/>
              </w:rPr>
            </w:pPr>
            <w:r>
              <w:rPr>
                <w:rFonts w:cs="Arial"/>
              </w:rPr>
              <w:t>(f)</w:t>
            </w:r>
            <w:r>
              <w:rPr>
                <w:rFonts w:cs="Arial"/>
              </w:rPr>
              <w:tab/>
              <w:t>t</w:t>
            </w:r>
            <w:r w:rsidRPr="003C0DA6">
              <w:rPr>
                <w:rFonts w:cs="Arial"/>
              </w:rPr>
              <w:t xml:space="preserve">he purpose of this </w:t>
            </w:r>
            <w:r>
              <w:rPr>
                <w:rFonts w:cs="Arial"/>
              </w:rPr>
              <w:t>w</w:t>
            </w:r>
            <w:r w:rsidRPr="003C0DA6">
              <w:rPr>
                <w:rFonts w:cs="Arial"/>
              </w:rPr>
              <w:t>arrant is [</w:t>
            </w:r>
            <w:r w:rsidRPr="003C0DA6">
              <w:rPr>
                <w:rFonts w:cs="Arial"/>
                <w:i/>
              </w:rPr>
              <w:t>description of purpose</w:t>
            </w:r>
            <w:r w:rsidRPr="003C0DA6">
              <w:rPr>
                <w:rFonts w:cs="Arial"/>
              </w:rPr>
              <w:t>].</w:t>
            </w:r>
          </w:p>
        </w:tc>
      </w:tr>
    </w:tbl>
    <w:p w14:paraId="04F9BC58" w14:textId="77777777" w:rsidR="007D2F7F" w:rsidRDefault="007D2F7F" w:rsidP="00E140FC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7D2F7F" w:rsidRPr="0008623A" w14:paraId="6AE32278" w14:textId="77777777" w:rsidTr="00E2786E">
        <w:tc>
          <w:tcPr>
            <w:tcW w:w="10457" w:type="dxa"/>
          </w:tcPr>
          <w:p w14:paraId="7BCE37FF" w14:textId="77777777" w:rsidR="007D2F7F" w:rsidRPr="0008623A" w:rsidRDefault="007D2F7F" w:rsidP="00E140FC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4F5353AA" w14:textId="79AE5048" w:rsidR="007D2F7F" w:rsidRPr="000F7743" w:rsidRDefault="007D2F7F" w:rsidP="00E140FC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3C0DA6">
              <w:rPr>
                <w:rFonts w:cs="Arial"/>
              </w:rPr>
              <w:t xml:space="preserve">the person and persons to whom this </w:t>
            </w:r>
            <w:r>
              <w:rPr>
                <w:rFonts w:cs="Arial"/>
              </w:rPr>
              <w:t>w</w:t>
            </w:r>
            <w:r w:rsidRPr="003C0DA6">
              <w:rPr>
                <w:rFonts w:cs="Arial"/>
              </w:rPr>
              <w:t>arrant addresses</w:t>
            </w:r>
            <w:r w:rsidRPr="000F7743">
              <w:rPr>
                <w:rFonts w:cs="Arial"/>
              </w:rPr>
              <w:t xml:space="preserve"> [</w:t>
            </w:r>
            <w:r w:rsidRPr="000F7743">
              <w:rPr>
                <w:rFonts w:cs="Arial"/>
                <w:i/>
              </w:rPr>
              <w:t xml:space="preserve">with such assistants as </w:t>
            </w:r>
            <w:r w:rsidR="00C7666D">
              <w:rPr>
                <w:rFonts w:cs="Arial"/>
                <w:i/>
              </w:rPr>
              <w:t>they</w:t>
            </w:r>
            <w:r w:rsidRPr="000F7743">
              <w:rPr>
                <w:rFonts w:cs="Arial"/>
                <w:i/>
              </w:rPr>
              <w:t xml:space="preserve"> consider necessary in the circumstances</w:t>
            </w:r>
            <w:r w:rsidRPr="000F7743">
              <w:rPr>
                <w:rFonts w:cs="Arial"/>
              </w:rPr>
              <w:t>] to:</w:t>
            </w:r>
          </w:p>
          <w:p w14:paraId="4ABD83BD" w14:textId="29AB5054" w:rsidR="007D2F7F" w:rsidRPr="007D2F7F" w:rsidRDefault="007D2F7F" w:rsidP="00E140FC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D2F7F">
              <w:rPr>
                <w:rFonts w:cs="Arial"/>
              </w:rPr>
              <w:t>enter and search [</w:t>
            </w:r>
            <w:r w:rsidRPr="007D2F7F">
              <w:rPr>
                <w:rFonts w:cs="Arial"/>
                <w:i/>
              </w:rPr>
              <w:t xml:space="preserve">description of premises, </w:t>
            </w:r>
            <w:proofErr w:type="gramStart"/>
            <w:r w:rsidRPr="007D2F7F">
              <w:rPr>
                <w:rFonts w:cs="Arial"/>
                <w:i/>
              </w:rPr>
              <w:t>address</w:t>
            </w:r>
            <w:proofErr w:type="gramEnd"/>
            <w:r w:rsidRPr="007D2F7F">
              <w:rPr>
                <w:rFonts w:cs="Arial"/>
                <w:i/>
              </w:rPr>
              <w:t xml:space="preserve"> or description of vessel/aircraft/vehicle</w:t>
            </w:r>
            <w:r w:rsidRPr="007D2F7F">
              <w:rPr>
                <w:rFonts w:cs="Arial"/>
              </w:rPr>
              <w:t>] for [</w:t>
            </w:r>
            <w:r w:rsidRPr="007D2F7F">
              <w:rPr>
                <w:rFonts w:cs="Arial"/>
                <w:i/>
              </w:rPr>
              <w:t>description of thing or things of particular kind</w:t>
            </w:r>
            <w:r w:rsidRPr="007D2F7F">
              <w:rPr>
                <w:rFonts w:cs="Arial"/>
              </w:rPr>
              <w:t xml:space="preserve">] that may afford evidence relating to a contravention of Part 13A of the </w:t>
            </w:r>
            <w:r w:rsidRPr="007D2F7F">
              <w:rPr>
                <w:rFonts w:cs="Arial"/>
                <w:i/>
              </w:rPr>
              <w:t>Electoral Act 1985</w:t>
            </w:r>
            <w:r w:rsidRPr="007D2F7F">
              <w:rPr>
                <w:rFonts w:cs="Arial"/>
              </w:rPr>
              <w:t xml:space="preserve"> for the purpose of [</w:t>
            </w:r>
            <w:r w:rsidRPr="007D2F7F">
              <w:rPr>
                <w:rFonts w:cs="Arial"/>
                <w:i/>
              </w:rPr>
              <w:t>description of purpose</w:t>
            </w:r>
            <w:r w:rsidRPr="007D2F7F">
              <w:rPr>
                <w:rFonts w:cs="Arial"/>
              </w:rPr>
              <w:t>].</w:t>
            </w:r>
          </w:p>
          <w:p w14:paraId="6373C179" w14:textId="0398B7CC" w:rsidR="007D2F7F" w:rsidRPr="007D2F7F" w:rsidRDefault="007D2F7F" w:rsidP="00E140FC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D2F7F">
              <w:rPr>
                <w:rFonts w:cs="Arial"/>
              </w:rPr>
              <w:t>seize [</w:t>
            </w:r>
            <w:r w:rsidRPr="007D2F7F">
              <w:rPr>
                <w:rFonts w:cs="Arial"/>
                <w:i/>
              </w:rPr>
              <w:t>and remove</w:t>
            </w:r>
            <w:r w:rsidRPr="007D2F7F">
              <w:rPr>
                <w:rFonts w:cs="Arial"/>
              </w:rPr>
              <w:t>] [</w:t>
            </w:r>
            <w:r w:rsidRPr="007D2F7F">
              <w:rPr>
                <w:rFonts w:cs="Arial"/>
                <w:i/>
              </w:rPr>
              <w:t>description of thing or things of a particular kind</w:t>
            </w:r>
            <w:r w:rsidRPr="007D2F7F">
              <w:rPr>
                <w:rFonts w:cs="Arial"/>
              </w:rPr>
              <w:t>] found [</w:t>
            </w:r>
            <w:r w:rsidRPr="007D2F7F">
              <w:rPr>
                <w:rFonts w:cs="Arial"/>
                <w:i/>
              </w:rPr>
              <w:t>thereon/therein/on or in [particular place or thing]/anywhere</w:t>
            </w:r>
            <w:r w:rsidRPr="007D2F7F">
              <w:rPr>
                <w:rFonts w:cs="Arial"/>
              </w:rPr>
              <w:t>].</w:t>
            </w:r>
          </w:p>
          <w:p w14:paraId="6AD23AA9" w14:textId="2F4ADD6F" w:rsidR="007D2F7F" w:rsidRPr="007D2F7F" w:rsidRDefault="007D2F7F" w:rsidP="00E140FC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D2F7F">
              <w:rPr>
                <w:rFonts w:cs="Arial"/>
              </w:rPr>
              <w:t>for the purposes of exercising the above powers</w:t>
            </w:r>
            <w:r w:rsidR="0096079A">
              <w:rPr>
                <w:rFonts w:cs="Arial"/>
              </w:rPr>
              <w:t xml:space="preserve"> </w:t>
            </w:r>
            <w:r w:rsidRPr="007D2F7F">
              <w:rPr>
                <w:rFonts w:cs="Arial"/>
              </w:rPr>
              <w:t>[</w:t>
            </w:r>
            <w:r w:rsidRPr="007D2F7F">
              <w:rPr>
                <w:rFonts w:cs="Arial"/>
                <w:i/>
              </w:rPr>
              <w:t>use [reasonable/necessary] force</w:t>
            </w:r>
            <w:r w:rsidRPr="007D2F7F">
              <w:rPr>
                <w:rFonts w:cs="Arial"/>
              </w:rPr>
              <w:t>].</w:t>
            </w:r>
          </w:p>
          <w:p w14:paraId="1E216154" w14:textId="00AD2F79" w:rsidR="007D2F7F" w:rsidRPr="007D2F7F" w:rsidRDefault="007D2F7F" w:rsidP="00E140FC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D2F7F">
              <w:rPr>
                <w:rFonts w:cs="Arial"/>
              </w:rPr>
              <w:t>[</w:t>
            </w:r>
            <w:r w:rsidRPr="007D2F7F">
              <w:rPr>
                <w:rFonts w:cs="Arial"/>
                <w:i/>
              </w:rPr>
              <w:t>other</w:t>
            </w:r>
            <w:r w:rsidRPr="007D2F7F">
              <w:rPr>
                <w:rFonts w:cs="Arial"/>
              </w:rPr>
              <w:t>].</w:t>
            </w:r>
          </w:p>
          <w:p w14:paraId="569724A9" w14:textId="77777777" w:rsidR="007D2F7F" w:rsidRPr="000F7743" w:rsidRDefault="007D2F7F" w:rsidP="00E140FC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108B305A" w14:textId="77777777" w:rsidR="007D2F7F" w:rsidRPr="000F7743" w:rsidRDefault="007D2F7F" w:rsidP="00E140FC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46CAA843" w14:textId="77777777" w:rsidR="007D2F7F" w:rsidRPr="001260F5" w:rsidRDefault="007D2F7F" w:rsidP="00E140FC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7A5FBB0" w14:textId="77777777" w:rsidR="007D2F7F" w:rsidRPr="001260F5" w:rsidRDefault="007D2F7F" w:rsidP="00E140FC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65B5779C" w14:textId="77777777" w:rsidR="007D2F7F" w:rsidRPr="001260F5" w:rsidRDefault="007D2F7F" w:rsidP="00E140FC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7DBA925B" w14:textId="77777777" w:rsidR="007D2F7F" w:rsidRPr="001260F5" w:rsidRDefault="007D2F7F" w:rsidP="00E140FC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E140FC">
              <w:rPr>
                <w:rFonts w:cs="Arial"/>
                <w:i/>
                <w:iCs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798DA278" w14:textId="77777777" w:rsidR="007D2F7F" w:rsidRDefault="007D2F7F" w:rsidP="00E140FC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499EC7B6" w14:textId="77777777" w:rsidR="007D2F7F" w:rsidRPr="00E35159" w:rsidRDefault="007D2F7F" w:rsidP="00E140FC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6B605D2B" w14:textId="42892FAF" w:rsidR="007D2F7F" w:rsidRPr="000F7743" w:rsidRDefault="007D2F7F" w:rsidP="00E140FC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 w:rsidRPr="003C12E7">
              <w:rPr>
                <w:rFonts w:cs="Arial"/>
              </w:rPr>
              <w:t xml:space="preserve">This </w:t>
            </w:r>
            <w:r w:rsidR="00D96586">
              <w:rPr>
                <w:rFonts w:cs="Arial"/>
              </w:rPr>
              <w:t>w</w:t>
            </w:r>
            <w:r w:rsidRPr="003C12E7">
              <w:rPr>
                <w:rFonts w:cs="Arial"/>
              </w:rPr>
              <w:t>arrant expires on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>, being a date not more than one</w:t>
            </w:r>
            <w:r w:rsidR="00D96586">
              <w:rPr>
                <w:rFonts w:cs="Arial"/>
              </w:rPr>
              <w:t xml:space="preserve"> month after the issue of this w</w:t>
            </w:r>
            <w:r>
              <w:rPr>
                <w:rFonts w:cs="Arial"/>
              </w:rPr>
              <w:t>arrant.</w:t>
            </w:r>
          </w:p>
        </w:tc>
      </w:tr>
    </w:tbl>
    <w:p w14:paraId="26AE4C82" w14:textId="77777777" w:rsidR="007D2F7F" w:rsidRDefault="007D2F7F" w:rsidP="00E140FC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D2F7F" w14:paraId="458681B4" w14:textId="77777777" w:rsidTr="00E2786E">
        <w:tc>
          <w:tcPr>
            <w:tcW w:w="10457" w:type="dxa"/>
          </w:tcPr>
          <w:p w14:paraId="07B9D4E5" w14:textId="5A96F567" w:rsidR="007D2F7F" w:rsidRPr="00A03684" w:rsidRDefault="00CE754A" w:rsidP="00E140FC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2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7F291B78" w14:textId="77777777" w:rsidR="007D2F7F" w:rsidRPr="00445BC2" w:rsidRDefault="007D2F7F" w:rsidP="00E140FC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670FD955" w14:textId="141C7A93" w:rsidR="007D2F7F" w:rsidRPr="00445BC2" w:rsidRDefault="007D2F7F" w:rsidP="00E140FC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5C0A6D">
              <w:rPr>
                <w:rFonts w:cs="Arial"/>
              </w:rPr>
              <w:t>Magistrate</w:t>
            </w:r>
          </w:p>
          <w:p w14:paraId="66116CC4" w14:textId="77777777" w:rsidR="007D2F7F" w:rsidRDefault="007D2F7F" w:rsidP="00E140FC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2"/>
      <w:bookmarkEnd w:id="0"/>
      <w:bookmarkEnd w:id="1"/>
    </w:tbl>
    <w:p w14:paraId="416D0162" w14:textId="77777777" w:rsidR="007F5ED3" w:rsidRPr="0008623A" w:rsidRDefault="007F5ED3" w:rsidP="00E140FC">
      <w:pPr>
        <w:spacing w:line="276" w:lineRule="auto"/>
        <w:rPr>
          <w:rFonts w:asciiTheme="minorHAnsi" w:hAnsiTheme="minorHAnsi" w:cs="Calibri"/>
        </w:rPr>
      </w:pPr>
    </w:p>
    <w:sectPr w:rsidR="007F5ED3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7CEC6356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51825">
      <w:rPr>
        <w:lang w:val="en-US"/>
      </w:rPr>
      <w:t>10</w:t>
    </w:r>
    <w:r w:rsidR="00297725">
      <w:rPr>
        <w:lang w:val="en-US"/>
      </w:rPr>
      <w:t>1</w:t>
    </w:r>
    <w:r w:rsidR="00E472D2">
      <w:rPr>
        <w:lang w:val="en-US"/>
      </w:rPr>
      <w:t>AS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13ABE191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E51825">
      <w:rPr>
        <w:lang w:val="en-US"/>
      </w:rPr>
      <w:t>10</w:t>
    </w:r>
    <w:r w:rsidR="00297725">
      <w:rPr>
        <w:lang w:val="en-US"/>
      </w:rPr>
      <w:t>1</w:t>
    </w:r>
    <w:r w:rsidR="00E472D2">
      <w:rPr>
        <w:lang w:val="en-US"/>
      </w:rPr>
      <w:t>AS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2E308590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569F"/>
    <w:multiLevelType w:val="hybridMultilevel"/>
    <w:tmpl w:val="8D8CC78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54915"/>
    <w:multiLevelType w:val="hybridMultilevel"/>
    <w:tmpl w:val="C0029F34"/>
    <w:lvl w:ilvl="0" w:tplc="49D4A26C">
      <w:start w:val="1"/>
      <w:numFmt w:val="lowerLetter"/>
      <w:lvlText w:val="(%1)"/>
      <w:lvlJc w:val="left"/>
      <w:pPr>
        <w:ind w:left="17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E4A88"/>
    <w:multiLevelType w:val="hybridMultilevel"/>
    <w:tmpl w:val="F3CC6F5E"/>
    <w:lvl w:ilvl="0" w:tplc="9B300098">
      <w:start w:val="1"/>
      <w:numFmt w:val="bullet"/>
      <w:lvlText w:val=""/>
      <w:lvlJc w:val="left"/>
      <w:pPr>
        <w:ind w:left="1738" w:hanging="360"/>
      </w:pPr>
      <w:rPr>
        <w:rFonts w:ascii="Wingdings 2" w:hAnsi="Wingdings 2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5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6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0358B"/>
    <w:multiLevelType w:val="hybridMultilevel"/>
    <w:tmpl w:val="5BA4143C"/>
    <w:lvl w:ilvl="0" w:tplc="0002C476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68165386">
    <w:abstractNumId w:val="5"/>
  </w:num>
  <w:num w:numId="2" w16cid:durableId="4034570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6646467">
    <w:abstractNumId w:val="6"/>
  </w:num>
  <w:num w:numId="4" w16cid:durableId="1652951066">
    <w:abstractNumId w:val="3"/>
  </w:num>
  <w:num w:numId="5" w16cid:durableId="1390154350">
    <w:abstractNumId w:val="0"/>
  </w:num>
  <w:num w:numId="6" w16cid:durableId="389621050">
    <w:abstractNumId w:val="2"/>
  </w:num>
  <w:num w:numId="7" w16cid:durableId="1427655913">
    <w:abstractNumId w:val="4"/>
  </w:num>
  <w:num w:numId="8" w16cid:durableId="15637102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02A0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725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15"/>
    <w:rsid w:val="003A3D68"/>
    <w:rsid w:val="003A74F6"/>
    <w:rsid w:val="003B1AB2"/>
    <w:rsid w:val="003B596C"/>
    <w:rsid w:val="003B603B"/>
    <w:rsid w:val="003B6E96"/>
    <w:rsid w:val="003C08CF"/>
    <w:rsid w:val="003C0DA6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D46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1CEA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0A6D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0444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753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2F7F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7F5ED3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6AB9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1141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079A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3684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0C4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4AEC"/>
    <w:rsid w:val="00C659A9"/>
    <w:rsid w:val="00C673C7"/>
    <w:rsid w:val="00C70A0D"/>
    <w:rsid w:val="00C71B98"/>
    <w:rsid w:val="00C73241"/>
    <w:rsid w:val="00C7412F"/>
    <w:rsid w:val="00C7666D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18F8"/>
    <w:rsid w:val="00CD254B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E754A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6586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0FC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2D2"/>
    <w:rsid w:val="00E47AF3"/>
    <w:rsid w:val="00E50315"/>
    <w:rsid w:val="00E5182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283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D2F7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D2F7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76948F4-C9C7-466F-8087-48AF7A68D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101AS Search Warrant - Electoral Act</dc:title>
  <dc:subject/>
  <dc:creator/>
  <cp:keywords>Forms; Special</cp:keywords>
  <dc:description/>
  <cp:lastModifiedBy/>
  <cp:revision>1</cp:revision>
  <dcterms:created xsi:type="dcterms:W3CDTF">2024-08-02T07:45:00Z</dcterms:created>
  <dcterms:modified xsi:type="dcterms:W3CDTF">2024-08-02T07:45:00Z</dcterms:modified>
</cp:coreProperties>
</file>